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30D8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FABD8E6">
            <w:pPr>
              <w:widowControl/>
              <w:spacing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</w:rPr>
              <w:t>TERMO DE COMPROMISSO DO BOLSISTA</w:t>
            </w:r>
          </w:p>
        </w:tc>
      </w:tr>
      <w:tr w14:paraId="12958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F9BC53">
            <w:pPr>
              <w:widowControl/>
              <w:spacing w:before="0" w:after="0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</w:rPr>
              <w:t>RESIDENTE TÉCNICO</w:t>
            </w:r>
          </w:p>
        </w:tc>
      </w:tr>
    </w:tbl>
    <w:p w14:paraId="19EC9AC9">
      <w:pPr>
        <w:tabs>
          <w:tab w:val="center" w:pos="4419"/>
          <w:tab w:val="right" w:pos="8838"/>
        </w:tabs>
        <w:spacing w:before="100" w:after="100"/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14:paraId="76B497DC">
      <w:pPr>
        <w:spacing w:before="100" w:after="100"/>
        <w:ind w:left="1701" w:firstLine="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Que entre si celebram, de um lado, a Universidade Estadual do Paraná, pessoa jurídica de direito público, inscrita no CNPJ sob o n.º 05.012.896/0001-42, com sede à Avenida Rio Grande do Norte, 1525 - Centro - Paranavaí – Paraná, doravante denominada UNIVERSIDADE, neste ato representada pela Profa. Danyelle Stringari, brasileira, Coordenadora do </w:t>
      </w:r>
      <w:r>
        <w:rPr>
          <w:rFonts w:ascii="Arial" w:hAnsi="Arial" w:eastAsia="Arial" w:cs="Arial"/>
          <w:b/>
          <w:bCs/>
          <w:sz w:val="22"/>
          <w:szCs w:val="22"/>
        </w:rPr>
        <w:t xml:space="preserve">Programa </w:t>
      </w:r>
      <w:r>
        <w:fldChar w:fldCharType="begin"/>
      </w:r>
      <w:r>
        <w:instrText xml:space="preserve"> HYPERLINK "https://cep.setipr.net.br/cep/cadastrar?lSvM0mU6HOXlQBNVr1KAwg==" \h </w:instrText>
      </w:r>
      <w:r>
        <w:fldChar w:fldCharType="separate"/>
      </w:r>
      <w:r>
        <w:rPr>
          <w:rStyle w:val="10"/>
          <w:rFonts w:ascii="Arial" w:hAnsi="Arial" w:eastAsia="sans-serif" w:cs="Arial"/>
          <w:b/>
          <w:bCs/>
          <w:color w:val="000000"/>
          <w:sz w:val="22"/>
          <w:szCs w:val="22"/>
          <w:u w:val="none"/>
          <w:shd w:val="clear" w:fill="FFFFFF"/>
        </w:rPr>
        <w:t xml:space="preserve">Residência Técnica e Pós-graduação </w:t>
      </w:r>
      <w:r>
        <w:rPr>
          <w:rStyle w:val="10"/>
          <w:rFonts w:ascii="Arial" w:hAnsi="Arial" w:eastAsia="sans-serif" w:cs="Arial"/>
          <w:b/>
          <w:bCs/>
          <w:i/>
          <w:iCs/>
          <w:color w:val="000000"/>
          <w:sz w:val="22"/>
          <w:szCs w:val="22"/>
          <w:u w:val="none"/>
          <w:shd w:val="clear" w:fill="FFFFFF"/>
        </w:rPr>
        <w:t xml:space="preserve">Lato sensu </w:t>
      </w:r>
      <w:r>
        <w:rPr>
          <w:rStyle w:val="10"/>
          <w:rFonts w:ascii="Arial" w:hAnsi="Arial" w:eastAsia="sans-serif" w:cs="Arial"/>
          <w:b/>
          <w:bCs/>
          <w:color w:val="000000"/>
          <w:sz w:val="22"/>
          <w:szCs w:val="22"/>
          <w:u w:val="none"/>
          <w:shd w:val="clear" w:fill="FFFFFF"/>
        </w:rPr>
        <w:t>em Gestão da Segurança Pública - 2ª Edição</w:t>
      </w:r>
      <w:r>
        <w:rPr>
          <w:rStyle w:val="10"/>
          <w:rFonts w:ascii="Arial" w:hAnsi="Arial" w:eastAsia="sans-serif" w:cs="Arial"/>
          <w:b/>
          <w:bCs/>
          <w:color w:val="000000"/>
          <w:sz w:val="22"/>
          <w:szCs w:val="22"/>
          <w:u w:val="none"/>
          <w:shd w:val="clear" w:fill="FFFFFF"/>
        </w:rPr>
        <w:fldChar w:fldCharType="end"/>
      </w:r>
      <w:r>
        <w:rPr>
          <w:rFonts w:ascii="Arial" w:hAnsi="Arial" w:eastAsia="sans-serif" w:cs="Arial"/>
          <w:b/>
          <w:bCs/>
          <w:color w:val="1F1F1F"/>
          <w:sz w:val="22"/>
          <w:szCs w:val="22"/>
          <w:shd w:val="clear" w:fill="FFFFFF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>que faz parte do Programa Paraná Mais Ciência da SETI e do outro lado</w:t>
      </w:r>
      <w:r>
        <w:rPr>
          <w:rFonts w:ascii="Arial" w:hAnsi="Arial" w:eastAsia="Arial" w:cs="Arial"/>
          <w:b/>
          <w:bCs/>
          <w:color w:val="000000"/>
          <w:sz w:val="22"/>
          <w:szCs w:val="22"/>
          <w:highlight w:val="yellow"/>
        </w:rPr>
        <w:t xml:space="preserve"> ---------------------------------, brasileiro, portador de RG nº ----------------PR, CPF nº ------------------, residente e domiciliado à Rua ------------------, nº --, Bairro -------, na cidade de ________- PR, doravante denominado(a) BOLSISTA/RESIDENTE.</w:t>
      </w:r>
    </w:p>
    <w:p w14:paraId="79190508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ind w:left="1701" w:firstLine="0"/>
        <w:jc w:val="both"/>
        <w:textAlignment w:val="auto"/>
        <w:rPr>
          <w:rFonts w:ascii="Arial" w:hAnsi="Arial" w:eastAsia="Arial" w:cs="Arial"/>
          <w:b/>
          <w:sz w:val="22"/>
          <w:szCs w:val="22"/>
        </w:rPr>
      </w:pPr>
    </w:p>
    <w:p w14:paraId="4CDA1D2D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PRIMEIRA</w:t>
      </w:r>
      <w:r>
        <w:rPr>
          <w:rFonts w:ascii="Arial" w:hAnsi="Arial" w:eastAsia="Arial" w:cs="Arial"/>
          <w:sz w:val="22"/>
          <w:szCs w:val="22"/>
        </w:rPr>
        <w:t xml:space="preserve"> – O(a) BOLSISTA/RESIDENTE desenvolverá atividades no </w:t>
      </w:r>
      <w:r>
        <w:rPr>
          <w:rFonts w:ascii="Arial" w:hAnsi="Arial" w:eastAsia="Arial" w:cs="Arial"/>
          <w:sz w:val="22"/>
          <w:szCs w:val="22"/>
          <w:lang w:val="pt-BR"/>
        </w:rPr>
        <w:t>P</w:t>
      </w:r>
      <w:r>
        <w:rPr>
          <w:rFonts w:ascii="Arial" w:hAnsi="Arial" w:eastAsia="Arial" w:cs="Arial"/>
          <w:sz w:val="22"/>
          <w:szCs w:val="22"/>
        </w:rPr>
        <w:t xml:space="preserve">rograma </w:t>
      </w:r>
      <w:r>
        <w:fldChar w:fldCharType="begin"/>
      </w:r>
      <w:r>
        <w:instrText xml:space="preserve"> HYPERLINK "https://cep.setipr.net.br/cep/cadastrar?lSvM0mU6HOXlQBNVr1KAwg==" \h </w:instrText>
      </w:r>
      <w:r>
        <w:fldChar w:fldCharType="separate"/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t xml:space="preserve">Residência Técnica e Pós-graduação </w:t>
      </w:r>
      <w:r>
        <w:rPr>
          <w:rStyle w:val="10"/>
          <w:rFonts w:ascii="Arial" w:hAnsi="Arial" w:eastAsia="sans-serif" w:cs="Arial"/>
          <w:i/>
          <w:iCs/>
          <w:color w:val="000000"/>
          <w:sz w:val="22"/>
          <w:szCs w:val="22"/>
          <w:u w:val="none"/>
          <w:shd w:val="clear" w:fill="FFFFFF"/>
        </w:rPr>
        <w:t>Lato sensu</w:t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t xml:space="preserve"> em Gestão da Segurança Pública - 2ª Edição</w:t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fldChar w:fldCharType="end"/>
      </w:r>
      <w:r>
        <w:rPr>
          <w:rFonts w:ascii="Arial" w:hAnsi="Arial" w:eastAsia="sans-serif" w:cs="Arial"/>
          <w:sz w:val="22"/>
          <w:szCs w:val="22"/>
          <w:shd w:val="clear" w:fill="FFFFFF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em conformidade com a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Lei Estadual nº12.020/98, alterada pela Lei Estadual nº15.123/06, que instituiu o Fundo Paraná, gerido pela Secretaria de Estado da Ciência, Tecnologia e Ensino Superior - SETI/UEF</w:t>
      </w:r>
      <w:r>
        <w:rPr>
          <w:rFonts w:ascii="Arial" w:hAnsi="Arial" w:eastAsia="Arial" w:cs="Arial"/>
          <w:sz w:val="22"/>
          <w:szCs w:val="22"/>
        </w:rPr>
        <w:t xml:space="preserve">, recebendo bolsa auxílio para Residente Técnico, no valor de R$ 3.040,00 (três mil e quarenta reais) e R$ 264,00 (duzentos e sessenta e quatro reais de auxílio financeiro mensais, com recursos da Secretaria de Estado da Segurança Pública do Paraná (SESP/PR), conforme Termo Jurídico celebrado entre este e a Secretaria de Ciência, Tecnologia e Ensino Superior e a Unespar.    </w:t>
      </w:r>
    </w:p>
    <w:p w14:paraId="03BC0400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SEGUNDA</w:t>
      </w:r>
      <w:r>
        <w:rPr>
          <w:rFonts w:ascii="Arial" w:hAnsi="Arial" w:eastAsia="Arial" w:cs="Arial"/>
          <w:sz w:val="22"/>
          <w:szCs w:val="22"/>
        </w:rPr>
        <w:t xml:space="preserve"> – O BOLSISTA/RESIDENTE desenvolverá as atividades presenciais junto aos setores da SESP ou da Unespar, com a supervisão de um servidor da área. As atividades serão desenvolvidas pelo período de 24 (vinte e quatro) meses.</w:t>
      </w:r>
    </w:p>
    <w:p w14:paraId="3F7D257A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TERCEIRA</w:t>
      </w:r>
      <w:r>
        <w:rPr>
          <w:rFonts w:ascii="Arial" w:hAnsi="Arial" w:eastAsia="Arial" w:cs="Arial"/>
          <w:sz w:val="22"/>
          <w:szCs w:val="22"/>
        </w:rPr>
        <w:t xml:space="preserve"> – A vigência do presente Termo será de 24 (vinte e quatro) meses, iniciando em 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06 de </w:t>
      </w:r>
      <w:r>
        <w:rPr>
          <w:rFonts w:ascii="Arial" w:hAnsi="Arial" w:eastAsia="Arial" w:cs="Arial"/>
          <w:sz w:val="22"/>
          <w:szCs w:val="22"/>
          <w:lang w:val="pt-BR"/>
        </w:rPr>
        <w:t>janeiro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de </w:t>
      </w:r>
      <w:r>
        <w:rPr>
          <w:rFonts w:ascii="Arial" w:hAnsi="Arial" w:eastAsia="Arial" w:cs="Arial"/>
          <w:sz w:val="22"/>
          <w:szCs w:val="22"/>
        </w:rPr>
        <w:t>202</w:t>
      </w:r>
      <w:r>
        <w:rPr>
          <w:rFonts w:ascii="Arial" w:hAnsi="Arial" w:eastAsia="Arial" w:cs="Arial"/>
          <w:sz w:val="22"/>
          <w:szCs w:val="22"/>
          <w:lang w:val="pt-BR"/>
        </w:rPr>
        <w:t>5</w:t>
      </w:r>
      <w:r>
        <w:rPr>
          <w:rFonts w:ascii="Arial" w:hAnsi="Arial" w:eastAsia="Arial" w:cs="Arial"/>
          <w:sz w:val="22"/>
          <w:szCs w:val="22"/>
        </w:rPr>
        <w:t xml:space="preserve"> e terminando em </w:t>
      </w:r>
      <w:r>
        <w:rPr>
          <w:rFonts w:hint="default" w:ascii="Arial" w:hAnsi="Arial" w:eastAsia="Arial" w:cs="Arial"/>
          <w:sz w:val="22"/>
          <w:szCs w:val="22"/>
          <w:lang w:val="pt-BR"/>
        </w:rPr>
        <w:t>06 de janeiro de 2027</w:t>
      </w:r>
      <w:r>
        <w:rPr>
          <w:rFonts w:ascii="Arial" w:hAnsi="Arial" w:eastAsia="Arial" w:cs="Arial"/>
          <w:sz w:val="22"/>
          <w:szCs w:val="22"/>
        </w:rPr>
        <w:t>, com carga horária de 06 (seis) horas diárias e 30 (trinta) horas semanais, sendo que durante este período o BOLSISTA não poderá ter acúmulo de bolsas de qualquer natureza subsidiadas com recursos do Tesouro do Estado do Paraná, sob pena de rescisão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e devolução dos recursos recebidos</w:t>
      </w:r>
      <w:r>
        <w:rPr>
          <w:rFonts w:ascii="Arial" w:hAnsi="Arial" w:eastAsia="Arial" w:cs="Arial"/>
          <w:sz w:val="22"/>
          <w:szCs w:val="22"/>
        </w:rPr>
        <w:t>, conforme disposto na Cláusula Sexta deste Termo.</w:t>
      </w:r>
    </w:p>
    <w:p w14:paraId="66C0810F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QUARTA</w:t>
      </w:r>
      <w:r>
        <w:rPr>
          <w:rFonts w:ascii="Arial" w:hAnsi="Arial" w:eastAsia="Arial" w:cs="Arial"/>
          <w:sz w:val="22"/>
          <w:szCs w:val="22"/>
        </w:rPr>
        <w:t xml:space="preserve"> – O BOLSISTA/RESIDENTE deverá apresentar à Coordenação do Programa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a</w:t>
      </w:r>
      <w:r>
        <w:rPr>
          <w:rFonts w:ascii="Arial" w:hAnsi="Arial" w:eastAsia="Arial" w:cs="Arial"/>
          <w:sz w:val="22"/>
          <w:szCs w:val="22"/>
        </w:rPr>
        <w:t xml:space="preserve"> documentação necessária para o recebimento da bolsa, devidamente preenchida, no dia </w:t>
      </w:r>
      <w:r>
        <w:rPr>
          <w:rFonts w:hint="default" w:ascii="Arial" w:hAnsi="Arial" w:eastAsia="Arial" w:cs="Arial"/>
          <w:sz w:val="22"/>
          <w:szCs w:val="22"/>
          <w:lang w:val="pt-BR"/>
        </w:rPr>
        <w:t>01</w:t>
      </w:r>
      <w:r>
        <w:rPr>
          <w:rFonts w:ascii="Arial" w:hAnsi="Arial" w:eastAsia="Arial" w:cs="Arial"/>
          <w:sz w:val="22"/>
          <w:szCs w:val="22"/>
        </w:rPr>
        <w:t xml:space="preserve"> de cada mês, sendo que a inobservância desta obrigação implicará no cancelamento do Auxílio financeiro.</w:t>
      </w:r>
    </w:p>
    <w:p w14:paraId="62820FD3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QUINTA</w:t>
      </w:r>
      <w:r>
        <w:rPr>
          <w:rFonts w:ascii="Arial" w:hAnsi="Arial" w:eastAsia="Arial" w:cs="Arial"/>
          <w:sz w:val="22"/>
          <w:szCs w:val="22"/>
        </w:rPr>
        <w:t xml:space="preserve"> - O BOLSISTA fica ciente que o presente TERMO DE COMPROMISSO, não implica em relação empregatícia com a UNIVERSIDADE, a SESP e a SETI, não havendo, portanto, incidência previdenciária, depósito de FGTS ou qualquer outra obrigação trabalhista sobre a Bolsa Auxílio que receberá a bolsa concedida é regida pelo Código Civil.</w:t>
      </w:r>
    </w:p>
    <w:p w14:paraId="29010954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SEXTA</w:t>
      </w:r>
      <w:r>
        <w:rPr>
          <w:rFonts w:ascii="Arial" w:hAnsi="Arial" w:eastAsia="Arial" w:cs="Arial"/>
          <w:sz w:val="22"/>
          <w:szCs w:val="22"/>
        </w:rPr>
        <w:t xml:space="preserve"> – Nos termos do art. 26 do </w:t>
      </w:r>
      <w:r>
        <w:rPr>
          <w:rFonts w:ascii="Arial" w:hAnsi="Arial" w:cs="Arial"/>
          <w:sz w:val="22"/>
          <w:szCs w:val="22"/>
        </w:rPr>
        <w:t>Ato Administrativo da UEF/SETI, as bolsas concedidas poderão ser acumuladas com atividade remunerada ou outros rendimentos, desde que não sejam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na mesma área da residência.</w:t>
      </w:r>
    </w:p>
    <w:p w14:paraId="5E641733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SÉTIMA</w:t>
      </w:r>
      <w:r>
        <w:rPr>
          <w:rFonts w:ascii="Arial" w:hAnsi="Arial" w:eastAsia="Arial" w:cs="Arial"/>
          <w:sz w:val="22"/>
          <w:szCs w:val="22"/>
        </w:rPr>
        <w:t xml:space="preserve"> – No caso do RESIDENTE ser servidor ou integrante do quadro de pessoal técnico da UNIVERSIDADE, ficará impedido de receber a bolsa auxílio, sob pena de infringência ao que dispõe o inciso II do art. 9º da Resolução nº 28/2011 do Tribunal de Contas do Estado do Paraná.</w:t>
      </w:r>
    </w:p>
    <w:p w14:paraId="5699B717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OITAVA</w:t>
      </w:r>
      <w:r>
        <w:rPr>
          <w:rFonts w:ascii="Arial" w:hAnsi="Arial" w:eastAsia="Arial" w:cs="Arial"/>
          <w:sz w:val="22"/>
          <w:szCs w:val="22"/>
        </w:rPr>
        <w:t xml:space="preserve"> - Na ocorrência de interrupção do envio de recursos pela SESP ou de caso fortuito, força maior, ou graves mudanças econômicas que impossibilitem a manutenção das bolsas concedidas, a UNIVERSIDADE poderá rescindir unilateralmente o presente TERMO DE COMPROMISSO, interrompendo o seu pagamento, sem indenização de qualquer espécie.</w:t>
      </w:r>
    </w:p>
    <w:p w14:paraId="13532529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NOVA</w:t>
      </w:r>
      <w:r>
        <w:rPr>
          <w:rFonts w:ascii="Arial" w:hAnsi="Arial" w:eastAsia="Arial" w:cs="Arial"/>
          <w:sz w:val="22"/>
          <w:szCs w:val="22"/>
        </w:rPr>
        <w:t xml:space="preserve"> - O presente instrumento poderá ser alterado ou rescindido de comum acordo entre as partes ou unilateralmente, mediante prévia comunicação de uma das partes à outra, com antecedência mínima de 30 (trinta) dias, ou ainda por descumprimento de quaisquer de suas cláusulas, cabendo à parte que der causa a inadimplência, arcar com os prejuízos ora advindos.</w:t>
      </w:r>
    </w:p>
    <w:p w14:paraId="70085C9B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DÉCIMA</w:t>
      </w:r>
      <w:r>
        <w:rPr>
          <w:rFonts w:ascii="Arial" w:hAnsi="Arial" w:eastAsia="Arial" w:cs="Arial"/>
          <w:sz w:val="22"/>
          <w:szCs w:val="22"/>
        </w:rPr>
        <w:t xml:space="preserve"> - O presente TERMO DE COMPROMISSO fica vinculado em todos os seus </w:t>
      </w:r>
      <w:r>
        <w:rPr>
          <w:rFonts w:hint="default" w:ascii="Arial" w:hAnsi="Arial" w:eastAsia="Arial" w:cs="Arial"/>
          <w:sz w:val="22"/>
          <w:szCs w:val="22"/>
          <w:lang w:val="pt-BR"/>
        </w:rPr>
        <w:t>T</w:t>
      </w:r>
      <w:r>
        <w:rPr>
          <w:rFonts w:ascii="Arial" w:hAnsi="Arial" w:eastAsia="Arial" w:cs="Arial"/>
          <w:sz w:val="22"/>
          <w:szCs w:val="22"/>
        </w:rPr>
        <w:t xml:space="preserve">ermos ao Programa </w:t>
      </w:r>
      <w:r>
        <w:fldChar w:fldCharType="begin"/>
      </w:r>
      <w:r>
        <w:instrText xml:space="preserve"> HYPERLINK "https://cep.setipr.net.br/cep/cadastrar?lSvM0mU6HOXlQBNVr1KAwg==" \h </w:instrText>
      </w:r>
      <w:r>
        <w:fldChar w:fldCharType="separate"/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t xml:space="preserve">Residência Técnica e Pós-graduação </w:t>
      </w:r>
      <w:r>
        <w:rPr>
          <w:rStyle w:val="10"/>
          <w:rFonts w:ascii="Arial" w:hAnsi="Arial" w:eastAsia="sans-serif" w:cs="Arial"/>
          <w:i/>
          <w:iCs/>
          <w:color w:val="000000"/>
          <w:sz w:val="22"/>
          <w:szCs w:val="22"/>
          <w:u w:val="none"/>
          <w:shd w:val="clear" w:fill="FFFFFF"/>
        </w:rPr>
        <w:t>Lato sensu</w:t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t xml:space="preserve"> em Gestão da Segurança Pública - 2ª Edição</w:t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fldChar w:fldCharType="end"/>
      </w:r>
      <w:r>
        <w:rPr>
          <w:rFonts w:ascii="Arial" w:hAnsi="Arial" w:eastAsia="Arial" w:cs="Arial"/>
          <w:color w:val="000000"/>
          <w:sz w:val="22"/>
          <w:szCs w:val="22"/>
        </w:rPr>
        <w:t xml:space="preserve">, vinculado ao TERMO DE EXECUÇÃO DESCENTRALIZADA - TED Nº 137/24, </w:t>
      </w:r>
      <w:r>
        <w:rPr>
          <w:rFonts w:ascii="Arial" w:hAnsi="Arial" w:eastAsia="Arial" w:cs="Arial"/>
          <w:sz w:val="22"/>
          <w:szCs w:val="22"/>
        </w:rPr>
        <w:t xml:space="preserve">do </w:t>
      </w:r>
      <w:r>
        <w:rPr>
          <w:rFonts w:ascii="Arial" w:hAnsi="Arial" w:eastAsia="Arial" w:cs="Arial"/>
          <w:color w:val="000000"/>
          <w:sz w:val="22"/>
          <w:szCs w:val="22"/>
        </w:rPr>
        <w:t>PROGRAMA PARANÁ MAIS CIÊNCIA DA SETI</w:t>
      </w:r>
      <w:r>
        <w:rPr>
          <w:rFonts w:ascii="Arial" w:hAnsi="Arial" w:eastAsia="Arial" w:cs="Arial"/>
          <w:sz w:val="22"/>
          <w:szCs w:val="22"/>
        </w:rPr>
        <w:t>.</w:t>
      </w:r>
    </w:p>
    <w:p w14:paraId="5D6D84F5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DÉCIMA PRIMEIRA</w:t>
      </w:r>
      <w:r>
        <w:rPr>
          <w:rFonts w:ascii="Arial" w:hAnsi="Arial" w:eastAsia="Arial" w:cs="Arial"/>
          <w:sz w:val="22"/>
          <w:szCs w:val="22"/>
        </w:rPr>
        <w:t xml:space="preserve"> - Fica eleito o Foro da Comarca de Curitiba</w:t>
      </w:r>
      <w:r>
        <w:rPr>
          <w:rFonts w:ascii="Arial" w:hAnsi="Arial" w:eastAsia="Arial" w:cs="Arial"/>
          <w:b/>
          <w:sz w:val="22"/>
          <w:szCs w:val="22"/>
        </w:rPr>
        <w:t xml:space="preserve"> - </w:t>
      </w:r>
      <w:r>
        <w:rPr>
          <w:rFonts w:ascii="Arial" w:hAnsi="Arial" w:eastAsia="Arial" w:cs="Arial"/>
          <w:sz w:val="22"/>
          <w:szCs w:val="22"/>
        </w:rPr>
        <w:t>PR, para dirimir questões porventura oriundas do presente TERMO DE COMPROMISSO, renunciando as partes a qualquer outro.</w:t>
      </w:r>
    </w:p>
    <w:p w14:paraId="7E112D7B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E, por estarem justos e compromissados, firmam o presente TERMO DE COMPROMISSO, </w:t>
      </w:r>
      <w:bookmarkStart w:id="0" w:name="_GoBack"/>
      <w:bookmarkEnd w:id="0"/>
      <w:r>
        <w:rPr>
          <w:rFonts w:ascii="Arial" w:hAnsi="Arial" w:eastAsia="Arial" w:cs="Arial"/>
          <w:sz w:val="22"/>
          <w:szCs w:val="22"/>
        </w:rPr>
        <w:t>para que surtam seus devidos e legais efeitos, na presença de 02 (duas) testemunhas abaixo relacionadas.</w:t>
      </w:r>
      <w:r>
        <w:rPr>
          <w:sz w:val="22"/>
          <w:szCs w:val="22"/>
        </w:rPr>
        <w:t xml:space="preserve">                                                                         </w:t>
      </w:r>
    </w:p>
    <w:p w14:paraId="4BDF4CC3">
      <w:pPr>
        <w:tabs>
          <w:tab w:val="left" w:pos="480"/>
        </w:tabs>
        <w:spacing w:before="100" w:after="100" w:line="360" w:lineRule="auto"/>
        <w:ind w:left="3402" w:firstLine="0"/>
        <w:jc w:val="right"/>
        <w:rPr>
          <w:rFonts w:ascii="Arial" w:hAnsi="Arial" w:eastAsia="Arial" w:cs="Arial"/>
          <w:sz w:val="22"/>
          <w:szCs w:val="22"/>
        </w:rPr>
      </w:pPr>
    </w:p>
    <w:p w14:paraId="6424949A">
      <w:pPr>
        <w:tabs>
          <w:tab w:val="left" w:pos="480"/>
        </w:tabs>
        <w:spacing w:before="100" w:after="100" w:line="360" w:lineRule="auto"/>
        <w:ind w:left="3402" w:firstLine="0"/>
        <w:jc w:val="right"/>
        <w:rPr>
          <w:rFonts w:ascii="Arial" w:hAnsi="Arial" w:eastAsia="Arial" w:cs="Arial"/>
          <w:sz w:val="22"/>
          <w:szCs w:val="22"/>
        </w:rPr>
      </w:pPr>
    </w:p>
    <w:p w14:paraId="005AFDB3">
      <w:pPr>
        <w:tabs>
          <w:tab w:val="left" w:pos="480"/>
        </w:tabs>
        <w:spacing w:before="100" w:after="100" w:line="360" w:lineRule="auto"/>
        <w:ind w:left="3402" w:firstLine="0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yellow"/>
        </w:rPr>
        <w:t>C</w:t>
      </w:r>
      <w:r>
        <w:rPr>
          <w:rFonts w:ascii="Arial" w:hAnsi="Arial" w:eastAsia="Arial" w:cs="Arial"/>
          <w:sz w:val="22"/>
          <w:szCs w:val="22"/>
          <w:highlight w:val="yellow"/>
          <w:lang w:val="pt-BR"/>
        </w:rPr>
        <w:t>idade</w:t>
      </w:r>
      <w:r>
        <w:rPr>
          <w:rFonts w:ascii="Arial" w:hAnsi="Arial" w:eastAsia="Arial" w:cs="Arial"/>
          <w:sz w:val="22"/>
          <w:szCs w:val="22"/>
        </w:rPr>
        <w:t>, ____ de ________ de 2024.</w:t>
      </w:r>
    </w:p>
    <w:p w14:paraId="51EB2F55">
      <w:pPr>
        <w:spacing w:before="100" w:after="100" w:line="360" w:lineRule="auto"/>
        <w:ind w:left="3402" w:firstLine="0"/>
        <w:jc w:val="both"/>
        <w:rPr>
          <w:rFonts w:ascii="Arial" w:hAnsi="Arial" w:eastAsia="Arial" w:cs="Arial"/>
          <w:sz w:val="22"/>
          <w:szCs w:val="22"/>
        </w:rPr>
      </w:pPr>
    </w:p>
    <w:tbl>
      <w:tblPr>
        <w:tblStyle w:val="27"/>
        <w:tblW w:w="914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40"/>
        <w:gridCol w:w="4701"/>
      </w:tblGrid>
      <w:tr w14:paraId="28AAA3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40" w:type="dxa"/>
          </w:tcPr>
          <w:p w14:paraId="7457F126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  <w:highlight w:val="yellow"/>
              </w:rPr>
              <w:t>Nome</w:t>
            </w:r>
          </w:p>
          <w:p w14:paraId="02A36754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</w:rPr>
              <w:t>BOLSISTA/RESIDENTE</w:t>
            </w:r>
          </w:p>
        </w:tc>
        <w:tc>
          <w:tcPr>
            <w:tcW w:w="4701" w:type="dxa"/>
          </w:tcPr>
          <w:p w14:paraId="3F5FDF98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</w:rPr>
              <w:t>Danyelle Stringari</w:t>
            </w:r>
          </w:p>
          <w:p w14:paraId="6C3B833E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</w:rPr>
              <w:t>COORDENADOR</w:t>
            </w: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  <w:lang w:val="pt-BR"/>
              </w:rPr>
              <w:t>A</w:t>
            </w:r>
          </w:p>
        </w:tc>
      </w:tr>
      <w:tr w14:paraId="749370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40" w:type="dxa"/>
          </w:tcPr>
          <w:p w14:paraId="05948D0E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both"/>
              <w:rPr>
                <w:rFonts w:ascii="Arial" w:hAnsi="Arial" w:eastAsia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color w:val="000000"/>
                <w:kern w:val="0"/>
                <w:sz w:val="22"/>
                <w:szCs w:val="22"/>
              </w:rPr>
              <w:t>Testemunhas:</w:t>
            </w:r>
          </w:p>
          <w:p w14:paraId="7197D22F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both"/>
              <w:rPr>
                <w:rFonts w:ascii="Arial" w:hAnsi="Arial" w:eastAsia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color w:val="000000"/>
                <w:kern w:val="0"/>
                <w:sz w:val="22"/>
                <w:szCs w:val="22"/>
              </w:rPr>
              <w:t>Gisele Ratiguieri</w:t>
            </w:r>
          </w:p>
        </w:tc>
        <w:tc>
          <w:tcPr>
            <w:tcW w:w="4701" w:type="dxa"/>
          </w:tcPr>
          <w:p w14:paraId="6E99EB2F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both"/>
              <w:rPr>
                <w:rFonts w:ascii="Arial" w:hAnsi="Arial" w:eastAsia="Arial" w:cs="Arial"/>
                <w:bCs/>
                <w:color w:val="000000"/>
                <w:sz w:val="22"/>
                <w:szCs w:val="22"/>
              </w:rPr>
            </w:pPr>
          </w:p>
          <w:p w14:paraId="1028497A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both"/>
              <w:rPr>
                <w:rFonts w:ascii="Arial" w:hAnsi="Arial" w:eastAsia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color w:val="000000"/>
                <w:kern w:val="0"/>
                <w:sz w:val="22"/>
                <w:szCs w:val="22"/>
              </w:rPr>
              <w:t>Elaine Lopes</w:t>
            </w:r>
          </w:p>
        </w:tc>
      </w:tr>
    </w:tbl>
    <w:p w14:paraId="7A0528E6">
      <w:pPr>
        <w:spacing w:line="360" w:lineRule="auto"/>
        <w:jc w:val="center"/>
        <w:rPr>
          <w:sz w:val="22"/>
          <w:szCs w:val="22"/>
        </w:rPr>
      </w:pPr>
    </w:p>
    <w:p w14:paraId="7F8B571C">
      <w:pPr>
        <w:tabs>
          <w:tab w:val="center" w:pos="4419"/>
          <w:tab w:val="right" w:pos="8838"/>
        </w:tabs>
        <w:spacing w:before="100" w:after="100"/>
        <w:jc w:val="right"/>
        <w:rPr>
          <w:color w:val="000000"/>
        </w:rPr>
      </w:pPr>
      <w:r>
        <w:rPr>
          <w:rFonts w:ascii="Arial" w:hAnsi="Arial" w:eastAsia="Arial" w:cs="Arial"/>
          <w:b/>
          <w:color w:val="000000"/>
          <w:sz w:val="14"/>
          <w:szCs w:val="14"/>
        </w:rPr>
        <w:t xml:space="preserve">                                                                                                               </w:t>
      </w:r>
    </w:p>
    <w:sectPr>
      <w:headerReference r:id="rId4" w:type="default"/>
      <w:footerReference r:id="rId5" w:type="default"/>
      <w:pgSz w:w="11906" w:h="16838"/>
      <w:pgMar w:top="1443" w:right="1134" w:bottom="709" w:left="1134" w:header="720" w:footer="120" w:gutter="0"/>
      <w:pgNumType w:fmt="decimal" w:start="1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A7731">
    <w:pP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  <w:sz w:val="12"/>
        <w:szCs w:val="12"/>
      </w:rPr>
    </w:pPr>
    <w:r>
      <w:rPr>
        <w:rFonts w:ascii="Arial" w:hAnsi="Arial" w:eastAsia="Arial" w:cs="Arial"/>
        <w:color w:val="000000"/>
        <w:sz w:val="12"/>
        <w:szCs w:val="12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posOffset>5898515</wp:posOffset>
              </wp:positionH>
              <wp:positionV relativeFrom="paragraph">
                <wp:posOffset>-218440</wp:posOffset>
              </wp:positionV>
              <wp:extent cx="1828800" cy="173990"/>
              <wp:effectExtent l="0" t="0" r="0" b="0"/>
              <wp:wrapNone/>
              <wp:docPr id="4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7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1F0412BE">
                          <w:pPr>
                            <w:pStyle w:val="16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  <w:lang w:val="pt-BR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o:spt="1" style="position:absolute;left:0pt;margin-left:464.45pt;margin-top:-17.2pt;height:13.7pt;width:144pt;mso-position-horizontal-relative:margin;z-index:-251657216;mso-width-relative:page;mso-height-relative:page;" filled="f" stroked="f" coordsize="21600,21600" o:allowincell="f" o:gfxdata="UEsDBAoAAAAAAIdO4kAAAAAAAAAAAAAAAAAEAAAAZHJzL1BLAwQUAAAACACHTuJABApPGtoAAAAL&#10;AQAADwAAAGRycy9kb3ducmV2LnhtbE2PTU/DMAyG70j8h8hIXNCWtivdVppOAgS3HVaQds0a0xYa&#10;p2uyr3+Pd4KjXz96/bhYnW0vjjj6zpGCeBqBQKqd6ahR8PnxNlmA8EGT0b0jVHBBD6vy9qbQuXEn&#10;2uCxCo3gEvK5VtCGMORS+rpFq/3UDUi8+3Kj1YHHsZFm1Ccut71MoiiTVnfEF1o94EuL9U91sApm&#10;5v3h226r9HkjL4/D+nVf7etMqfu7OHoCEfAc/mC46rM6lOy0cwcyXvQKlsliyaiCySxNQVyJJM44&#10;2nE0j0CWhfz/Q/kLUEsDBBQAAAAIAIdO4kDn+yxBvAEAAI8DAAAOAAAAZHJzL2Uyb0RvYy54bWyt&#10;U8Fu2zAMvQ/oPwi6N7bTtQuMOMWwoEOBYSvQ9gMUWY4FSKIgKrHz96NkJx26Sw+9yKRIPb73JK/v&#10;R2vYUQXU4BpeLUrOlJPQardv+OvLw/WKM4zCtcKAUw0/KeT3m6sv68HXagk9mFYFRiAO68E3vI/R&#10;10WBsldW4AK8clTsIFgRKQ37og1iIHRrimVZ3hUDhNYHkAqRdrdTkc+I4SOA0HVaqi3Ig1UuTqhB&#10;GRFJEvbaI99ktl2nZPzTdagiMw0npTGvNITiXVqLzVrU+yB8r+VMQXyEwjtNVmhHQy9QWxEFOwT9&#10;H5TVMgBCFxcSbDEJyY6Qiqp8581zL7zKWshq9BfT8fNg5e/jU2C6bfhXzpywdOE/hB4FaxV7UWME&#10;ViWPBo81tT77pzBnSGESPHbBpi9JYWP29XTxlc4zSZvVarlalWS5pFr17YaSBFq8nfYB408FlqWg&#10;4YHuLdspjr8wTq3nljTMwYM2hvZFbRwbGn53c1vmA5cKgRtHMxLziWuK4rgbZwE7aE8k3Tw6sjM9&#10;jXMQzsHuHAgne6BHM3FC//0QiUDmlUAnpHkW3VNWNr+p9BD+zXPX23+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ECk8a2gAAAAsBAAAPAAAAAAAAAAEAIAAAACIAAABkcnMvZG93bnJldi54bWxQ&#10;SwECFAAUAAAACACHTuJA5/ssQbwBAACPAwAADgAAAAAAAAABACAAAAAp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412BE">
                    <w:pPr>
                      <w:pStyle w:val="16"/>
                      <w:rPr>
                        <w:lang w:val="pt-BR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  <w:lang w:val="pt-BR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E4E74">
    <w:pPr>
      <w:jc w:val="center"/>
      <w:rPr>
        <w:rFonts w:ascii="Arial" w:hAnsi="Arial" w:eastAsia="Arial" w:cs="Arial"/>
      </w:rPr>
    </w:pPr>
    <w:r>
      <w:rPr>
        <w:rFonts w:ascii="Arial" w:hAnsi="Arial" w:eastAsia="Arial" w:cs="Aria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2348865</wp:posOffset>
          </wp:positionH>
          <wp:positionV relativeFrom="paragraph">
            <wp:posOffset>99695</wp:posOffset>
          </wp:positionV>
          <wp:extent cx="1587500" cy="382905"/>
          <wp:effectExtent l="0" t="0" r="0" b="0"/>
          <wp:wrapTight wrapText="bothSides">
            <wp:wrapPolygon>
              <wp:start x="252" y="0"/>
              <wp:lineTo x="-6" y="3221"/>
              <wp:lineTo x="-6" y="18263"/>
              <wp:lineTo x="1289" y="20405"/>
              <wp:lineTo x="21250" y="20405"/>
              <wp:lineTo x="21250" y="2142"/>
              <wp:lineTo x="15029" y="0"/>
              <wp:lineTo x="252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4652010</wp:posOffset>
          </wp:positionH>
          <wp:positionV relativeFrom="paragraph">
            <wp:posOffset>-144780</wp:posOffset>
          </wp:positionV>
          <wp:extent cx="1558925" cy="695325"/>
          <wp:effectExtent l="0" t="0" r="0" b="0"/>
          <wp:wrapTight wrapText="bothSides">
            <wp:wrapPolygon>
              <wp:start x="16885" y="0"/>
              <wp:lineTo x="-8" y="3539"/>
              <wp:lineTo x="-8" y="18932"/>
              <wp:lineTo x="523" y="21296"/>
              <wp:lineTo x="1048" y="21296"/>
              <wp:lineTo x="18206" y="21296"/>
              <wp:lineTo x="21376" y="21296"/>
              <wp:lineTo x="21376" y="0"/>
              <wp:lineTo x="16885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89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</w:rPr>
      <w:drawing>
        <wp:anchor distT="114300" distB="114300" distL="114300" distR="114300" simplePos="0" relativeHeight="251659264" behindDoc="1" locked="0" layoutInCell="0" allowOverlap="1">
          <wp:simplePos x="0" y="0"/>
          <wp:positionH relativeFrom="column">
            <wp:posOffset>20955</wp:posOffset>
          </wp:positionH>
          <wp:positionV relativeFrom="paragraph">
            <wp:posOffset>33020</wp:posOffset>
          </wp:positionV>
          <wp:extent cx="1478915" cy="47244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7891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28D7D1">
    <w:pPr>
      <w:tabs>
        <w:tab w:val="center" w:pos="4419"/>
        <w:tab w:val="right" w:pos="8838"/>
        <w:tab w:val="right" w:pos="15398"/>
      </w:tabs>
      <w:jc w:val="center"/>
      <w:rPr>
        <w:rFonts w:ascii="Arial" w:hAnsi="Arial" w:eastAsia="Arial" w:cs="Arial"/>
        <w:color w:val="000000"/>
        <w:sz w:val="20"/>
        <w:szCs w:val="20"/>
      </w:rPr>
    </w:pPr>
  </w:p>
  <w:p w14:paraId="24019450">
    <w:pPr>
      <w:tabs>
        <w:tab w:val="center" w:pos="4419"/>
        <w:tab w:val="right" w:pos="8838"/>
      </w:tabs>
      <w:rPr>
        <w:color w:val="000000"/>
      </w:rPr>
    </w:pPr>
  </w:p>
  <w:p w14:paraId="75ECC0D7">
    <w:pP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autoHyphenation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9720AA"/>
    <w:rsid w:val="44F02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"/>
    <w:basedOn w:val="12"/>
    <w:qFormat/>
    <w:uiPriority w:val="0"/>
    <w:rPr>
      <w:rFonts w:cs="Lucida Sans"/>
    </w:r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15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19">
    <w:name w:val="Cabeçalho Char"/>
    <w:basedOn w:val="8"/>
    <w:link w:val="15"/>
    <w:qFormat/>
    <w:uiPriority w:val="99"/>
  </w:style>
  <w:style w:type="character" w:customStyle="1" w:styleId="20">
    <w:name w:val="Rodapé Char"/>
    <w:basedOn w:val="8"/>
    <w:link w:val="16"/>
    <w:qFormat/>
    <w:uiPriority w:val="99"/>
  </w:style>
  <w:style w:type="paragraph" w:customStyle="1" w:styleId="21">
    <w:name w:val="Título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Cabeçalho e Rodapé"/>
    <w:basedOn w:val="1"/>
    <w:qFormat/>
    <w:uiPriority w:val="0"/>
  </w:style>
  <w:style w:type="paragraph" w:customStyle="1" w:styleId="24">
    <w:name w:val="Conteúdo do quadro"/>
    <w:basedOn w:val="1"/>
    <w:qFormat/>
    <w:uiPriority w:val="0"/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12"/>
    <w:basedOn w:val="25"/>
    <w:qFormat/>
    <w:uiPriority w:val="0"/>
    <w:tblPr>
      <w:tblCellMar>
        <w:left w:w="108" w:type="dxa"/>
        <w:right w:w="108" w:type="dxa"/>
      </w:tblCellMar>
    </w:tblPr>
  </w:style>
  <w:style w:type="table" w:customStyle="1" w:styleId="27">
    <w:name w:val="_Style 13"/>
    <w:basedOn w:val="25"/>
    <w:qFormat/>
    <w:uiPriority w:val="0"/>
    <w:tblPr>
      <w:tblCellMar>
        <w:left w:w="7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4174</Characters>
  <Paragraphs>25</Paragraphs>
  <TotalTime>31</TotalTime>
  <ScaleCrop>false</ScaleCrop>
  <LinksUpToDate>false</LinksUpToDate>
  <CharactersWithSpaces>5089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2024-10-15T22:49:00Z</dcterms:created>
  <dc:creator>Luís Felipe Cunha dos Santos Silva</dc:creator>
  <cp:lastModifiedBy>55449</cp:lastModifiedBy>
  <dcterms:modified xsi:type="dcterms:W3CDTF">2025-01-02T16:39:07Z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339C8D0F048A4371A6CA6AFFFC56AB89_13</vt:lpwstr>
  </property>
  <property fmtid="{D5CDD505-2E9C-101B-9397-08002B2CF9AE}" pid="3" name="KSOProductBuildVer">
    <vt:lpwstr>1046-12.2.0.19307</vt:lpwstr>
  </property>
</Properties>
</file>